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83B91">
      <w:pPr>
        <w:spacing w:line="600" w:lineRule="exact"/>
        <w:ind w:right="762" w:rightChars="363"/>
        <w:jc w:val="left"/>
        <w:rPr>
          <w:rFonts w:eastAsia="方正黑体_GBK" w:cs="方正仿宋_GBK"/>
          <w:kern w:val="0"/>
          <w:sz w:val="32"/>
          <w:szCs w:val="32"/>
        </w:rPr>
      </w:pPr>
      <w:r>
        <w:rPr>
          <w:rFonts w:hint="eastAsia" w:eastAsia="方正黑体_GBK" w:cs="方正仿宋_GBK"/>
          <w:kern w:val="0"/>
          <w:sz w:val="32"/>
          <w:szCs w:val="32"/>
        </w:rPr>
        <w:t>附件1</w:t>
      </w:r>
    </w:p>
    <w:p w14:paraId="32524334">
      <w:pPr>
        <w:spacing w:line="600" w:lineRule="exact"/>
        <w:ind w:firstLine="640"/>
        <w:jc w:val="center"/>
        <w:rPr>
          <w:rFonts w:eastAsia="方正小标宋_GBK" w:cs="方正仿宋_GBK"/>
          <w:kern w:val="0"/>
          <w:sz w:val="44"/>
          <w:szCs w:val="44"/>
        </w:rPr>
      </w:pPr>
      <w:r>
        <w:rPr>
          <w:rFonts w:hint="eastAsia" w:eastAsia="方正小标宋_GBK" w:cs="方正仿宋_GBK"/>
          <w:kern w:val="0"/>
          <w:sz w:val="44"/>
          <w:szCs w:val="44"/>
        </w:rPr>
        <w:t>四川省消防安全重点单位界定标准（</w:t>
      </w:r>
      <w:r>
        <w:rPr>
          <w:rFonts w:hint="eastAsia" w:eastAsia="方正小标宋_GBK" w:cs="方正仿宋_GBK"/>
          <w:kern w:val="0"/>
          <w:sz w:val="44"/>
          <w:szCs w:val="44"/>
          <w:lang w:eastAsia="zh-CN"/>
        </w:rPr>
        <w:t>试行</w:t>
      </w:r>
      <w:r>
        <w:rPr>
          <w:rFonts w:hint="eastAsia" w:eastAsia="方正小标宋_GBK" w:cs="方正仿宋_GBK"/>
          <w:kern w:val="0"/>
          <w:sz w:val="44"/>
          <w:szCs w:val="44"/>
        </w:rPr>
        <w:t>）</w:t>
      </w:r>
    </w:p>
    <w:p w14:paraId="76832421">
      <w:pPr>
        <w:spacing w:line="600" w:lineRule="exact"/>
        <w:ind w:firstLine="640"/>
        <w:jc w:val="center"/>
        <w:rPr>
          <w:rFonts w:eastAsia="方正仿宋_GBK" w:cs="方正仿宋_GBK"/>
          <w:kern w:val="0"/>
          <w:sz w:val="32"/>
          <w:szCs w:val="32"/>
        </w:rPr>
      </w:pPr>
    </w:p>
    <w:p w14:paraId="50905B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kern w:val="0"/>
          <w:sz w:val="32"/>
          <w:szCs w:val="32"/>
        </w:rPr>
        <w:t>一、</w:t>
      </w:r>
      <w:r>
        <w:rPr>
          <w:rFonts w:eastAsia="方正黑体_GBK"/>
          <w:sz w:val="32"/>
          <w:szCs w:val="32"/>
        </w:rPr>
        <w:t>公众聚集场所</w:t>
      </w:r>
    </w:p>
    <w:p w14:paraId="5E8BB102">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（一）客房数在100间以上，以及设置于地下、半地下客房数在50间以上，或者建筑面积在3000平方米以上的旅馆。</w:t>
      </w:r>
    </w:p>
    <w:p w14:paraId="329D44E7">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（二）建筑面积在3000平方米以上，以及设置于地下、半地下建筑面积在500平方米以上，且室内经营可燃商品的商场、集贸市场。</w:t>
      </w:r>
    </w:p>
    <w:p w14:paraId="58BF7C66">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成都市建筑面积在5000平方米以上，以及设置于地下、半地下建筑面积在500平方米以上，且</w:t>
      </w:r>
      <w:r>
        <w:rPr>
          <w:rFonts w:hint="eastAsia" w:eastAsia="方正仿宋_GBK"/>
          <w:sz w:val="32"/>
          <w:szCs w:val="32"/>
        </w:rPr>
        <w:t>室内</w:t>
      </w:r>
      <w:r>
        <w:rPr>
          <w:rFonts w:eastAsia="方正仿宋_GBK"/>
          <w:sz w:val="32"/>
          <w:szCs w:val="32"/>
        </w:rPr>
        <w:t>经营可燃商品的商场、集贸市场。</w:t>
      </w:r>
    </w:p>
    <w:p w14:paraId="5796EC58">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（三）任一层面积在1500平方米以上或</w:t>
      </w:r>
      <w:r>
        <w:rPr>
          <w:rFonts w:hint="eastAsia" w:eastAsia="方正仿宋_GBK"/>
          <w:sz w:val="32"/>
          <w:szCs w:val="32"/>
          <w:lang w:val="en-US" w:eastAsia="zh-CN"/>
        </w:rPr>
        <w:t>者</w:t>
      </w:r>
      <w:r>
        <w:rPr>
          <w:rFonts w:eastAsia="方正仿宋_GBK"/>
          <w:sz w:val="32"/>
          <w:szCs w:val="32"/>
        </w:rPr>
        <w:t>总建筑面积在3000平方米以上的不具有娱乐功能的餐饮场所。</w:t>
      </w:r>
    </w:p>
    <w:p w14:paraId="77B12EE7">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（四）建筑面积在3000平方米以上的客运车站候车室、客运码头候船厅、民用机场航站楼。</w:t>
      </w:r>
    </w:p>
    <w:p w14:paraId="3EE248E6">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（五）观众席在20000座以上的公共体育场、观众席在3000座以上的公共体育馆，座位数大于2000个的公共会堂。</w:t>
      </w:r>
    </w:p>
    <w:p w14:paraId="7543ACB0">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成都市观众席在40000座以上的公共体育场、观众席在6000座以上的公共体育馆，座位数大于2000个的公共会堂。</w:t>
      </w:r>
    </w:p>
    <w:p w14:paraId="5B10E052">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（六）建筑面积在500平方米以上的公共娱乐场所。</w:t>
      </w:r>
    </w:p>
    <w:p w14:paraId="7AFB86DC">
      <w:pPr>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textAlignment w:val="auto"/>
        <w:rPr>
          <w:rFonts w:eastAsia="方正黑体_GBK"/>
          <w:sz w:val="32"/>
          <w:szCs w:val="32"/>
        </w:rPr>
      </w:pPr>
      <w:r>
        <w:rPr>
          <w:rFonts w:hint="eastAsia" w:eastAsia="方正黑体_GBK"/>
          <w:sz w:val="32"/>
          <w:szCs w:val="32"/>
          <w:lang w:eastAsia="zh-CN"/>
        </w:rPr>
        <w:t>二、</w:t>
      </w:r>
      <w:r>
        <w:rPr>
          <w:rFonts w:eastAsia="方正黑体_GBK"/>
          <w:sz w:val="32"/>
          <w:szCs w:val="32"/>
        </w:rPr>
        <w:t>医院、养老机构和学校、托儿所、幼儿园</w:t>
      </w:r>
    </w:p>
    <w:p w14:paraId="6183EF25">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（一）床位数在100张以上</w:t>
      </w:r>
      <w:r>
        <w:rPr>
          <w:rFonts w:eastAsia="方正仿宋_GBK"/>
          <w:color w:val="000000"/>
          <w:sz w:val="32"/>
          <w:szCs w:val="32"/>
        </w:rPr>
        <w:t>的</w:t>
      </w:r>
      <w:r>
        <w:rPr>
          <w:rFonts w:eastAsia="方正仿宋_GBK"/>
          <w:sz w:val="32"/>
          <w:szCs w:val="32"/>
        </w:rPr>
        <w:t>医院。</w:t>
      </w:r>
    </w:p>
    <w:p w14:paraId="7069F8DC">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（二）老人住宿床位在50张以上的养老机构。</w:t>
      </w:r>
    </w:p>
    <w:p w14:paraId="5B653539">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 xml:space="preserve">（三）有4个班以上的托儿所、有5个班以上的幼儿园。 </w:t>
      </w:r>
    </w:p>
    <w:p w14:paraId="6BF7953F">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（四）学生床位在100张以上的小学学校，学生床位在200张以上的其他学校。</w:t>
      </w:r>
    </w:p>
    <w:p w14:paraId="179386C0">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（五）200人以上的非寄宿制特殊教育学校，1000人以上的其他非寄宿制学校。</w:t>
      </w:r>
    </w:p>
    <w:p w14:paraId="3BC2D66F">
      <w:pPr>
        <w:keepNext w:val="0"/>
        <w:keepLines w:val="0"/>
        <w:pageBreakBefore w:val="0"/>
        <w:widowControl w:val="0"/>
        <w:numPr>
          <w:ilvl w:val="0"/>
          <w:numId w:val="0"/>
        </w:numPr>
        <w:kinsoku/>
        <w:wordWrap/>
        <w:overflowPunct/>
        <w:topLinePunct w:val="0"/>
        <w:bidi w:val="0"/>
        <w:adjustRightInd/>
        <w:snapToGrid/>
        <w:spacing w:line="600" w:lineRule="exact"/>
        <w:ind w:firstLine="640" w:firstLineChars="200"/>
        <w:textAlignment w:val="auto"/>
        <w:rPr>
          <w:rFonts w:eastAsia="方正黑体_GBK"/>
          <w:sz w:val="32"/>
          <w:szCs w:val="32"/>
        </w:rPr>
      </w:pPr>
      <w:r>
        <w:rPr>
          <w:rFonts w:hint="eastAsia" w:eastAsia="方正黑体_GBK"/>
          <w:sz w:val="32"/>
          <w:szCs w:val="32"/>
          <w:lang w:eastAsia="zh-CN"/>
        </w:rPr>
        <w:t>三、</w:t>
      </w:r>
      <w:r>
        <w:rPr>
          <w:rFonts w:eastAsia="方正黑体_GBK"/>
          <w:sz w:val="32"/>
          <w:szCs w:val="32"/>
        </w:rPr>
        <w:t>国家机关</w:t>
      </w:r>
    </w:p>
    <w:p w14:paraId="026E1730">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（一）县级以上党委、人大、政府、政协机关。</w:t>
      </w:r>
    </w:p>
    <w:p w14:paraId="325E5083">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（二）县级以上监察委员会、人民法院和人民检察院。</w:t>
      </w:r>
    </w:p>
    <w:p w14:paraId="0B32EF30">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四、广播电视台和县级以上邮政、通信枢纽、数据中心</w:t>
      </w:r>
    </w:p>
    <w:p w14:paraId="62A03AC0">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五、公共图书馆、展览馆、博物馆、档案馆，具有火灾危险性的文物保护单位，宗教活动场所</w:t>
      </w:r>
    </w:p>
    <w:p w14:paraId="79B740BD">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（一）藏书50万册以上的公共图书馆，展览面积在10000平方米以上的展览馆。</w:t>
      </w:r>
    </w:p>
    <w:p w14:paraId="705FF564">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（二）三级以上博物馆，国家档案馆。</w:t>
      </w:r>
    </w:p>
    <w:p w14:paraId="6FCF56E4">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（三）具有火灾危险性的省级以上文物保护单位。</w:t>
      </w:r>
    </w:p>
    <w:p w14:paraId="0A833289">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（四）宗教教职人员在50人以上或者建筑面积在5000平方米以上</w:t>
      </w:r>
      <w:r>
        <w:rPr>
          <w:rFonts w:hint="eastAsia" w:eastAsia="方正仿宋_GBK"/>
          <w:sz w:val="32"/>
          <w:szCs w:val="32"/>
        </w:rPr>
        <w:t>，且属于县级以上</w:t>
      </w:r>
      <w:r>
        <w:rPr>
          <w:rFonts w:eastAsia="方正仿宋_GBK"/>
          <w:sz w:val="32"/>
          <w:szCs w:val="32"/>
        </w:rPr>
        <w:t>文物保护单位的宗教活动场所。</w:t>
      </w:r>
    </w:p>
    <w:p w14:paraId="1EBEEEB4">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六、发电厂和电网经营企业、储能电站</w:t>
      </w:r>
    </w:p>
    <w:p w14:paraId="7FD15FAB">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（一）大型发电厂（站），500KV及以上变电站。</w:t>
      </w:r>
    </w:p>
    <w:p w14:paraId="717BE3C5">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（二）县级以上电网经营企业、承担电力调度功能的供电单位。</w:t>
      </w:r>
    </w:p>
    <w:p w14:paraId="3B4E6187">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（三）功率30MW或</w:t>
      </w:r>
      <w:r>
        <w:rPr>
          <w:rFonts w:hint="eastAsia" w:eastAsia="方正仿宋_GBK"/>
          <w:sz w:val="32"/>
          <w:szCs w:val="32"/>
          <w:lang w:val="en-US" w:eastAsia="zh-CN"/>
        </w:rPr>
        <w:t>者</w:t>
      </w:r>
      <w:r>
        <w:rPr>
          <w:rFonts w:eastAsia="方正仿宋_GBK"/>
          <w:sz w:val="32"/>
          <w:szCs w:val="32"/>
        </w:rPr>
        <w:t>容量30MW·h以上的电化学储能电站。</w:t>
      </w:r>
    </w:p>
    <w:p w14:paraId="67DE2788">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七、易燃易爆化学物品的生产、充装、储存、供应、销售单位</w:t>
      </w:r>
    </w:p>
    <w:p w14:paraId="244EFBDA">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（一）生产、储存易燃易爆化学物品的工厂、专用仓库。</w:t>
      </w:r>
    </w:p>
    <w:p w14:paraId="0DA833AE">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（二）易燃易爆气体和液体的充装站、调压站。</w:t>
      </w:r>
    </w:p>
    <w:p w14:paraId="6F4761F3">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（三）</w:t>
      </w:r>
      <w:r>
        <w:rPr>
          <w:rFonts w:hint="eastAsia" w:eastAsia="方正仿宋_GBK"/>
          <w:sz w:val="32"/>
          <w:szCs w:val="32"/>
        </w:rPr>
        <w:t>营业性</w:t>
      </w:r>
      <w:r>
        <w:rPr>
          <w:rFonts w:eastAsia="方正仿宋_GBK"/>
          <w:sz w:val="32"/>
          <w:szCs w:val="32"/>
        </w:rPr>
        <w:t>汽车加油加气加氢站、液化石油气供应站。</w:t>
      </w:r>
    </w:p>
    <w:p w14:paraId="1A391CEB">
      <w:pPr>
        <w:pStyle w:val="16"/>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ascii="Times New Roman" w:cs="Times New Roman"/>
        </w:rPr>
      </w:pPr>
      <w:r>
        <w:rPr>
          <w:rFonts w:ascii="Times New Roman" w:eastAsia="方正仿宋_GBK" w:cs="Times New Roman"/>
          <w:color w:val="auto"/>
          <w:sz w:val="32"/>
          <w:szCs w:val="32"/>
        </w:rPr>
        <w:t>（四）建筑面积在300平方米以上的经营易燃易爆化学物品</w:t>
      </w:r>
      <w:r>
        <w:rPr>
          <w:rFonts w:hint="eastAsia" w:ascii="Times New Roman" w:eastAsia="方正仿宋_GBK" w:cs="Times New Roman"/>
          <w:color w:val="auto"/>
          <w:sz w:val="32"/>
          <w:szCs w:val="32"/>
        </w:rPr>
        <w:t>的</w:t>
      </w:r>
      <w:r>
        <w:rPr>
          <w:rFonts w:ascii="Times New Roman" w:eastAsia="方正仿宋_GBK" w:cs="Times New Roman"/>
          <w:color w:val="auto"/>
          <w:sz w:val="32"/>
          <w:szCs w:val="32"/>
        </w:rPr>
        <w:t>商店。</w:t>
      </w:r>
    </w:p>
    <w:p w14:paraId="36C287CC">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八、生产、加工企业</w:t>
      </w:r>
    </w:p>
    <w:p w14:paraId="456C3D55">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企业员工总数在1000人以上，或者同一建筑在同一时间的使用人数在300人以上的服装、鞋帽、玩具、木制品、家具、塑料、食品加工和纺织、印染、电子、印刷等劳动密集型企业。</w:t>
      </w:r>
    </w:p>
    <w:p w14:paraId="434C12CF">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九、国家和省级科研单位、国家实验室、全国重点实验室</w:t>
      </w:r>
    </w:p>
    <w:p w14:paraId="12A506EB">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十、其他发生火灾可能性较大以及一旦发生火灾可能造成人身重大伤亡或者财产重大损失的单位和场所</w:t>
      </w:r>
    </w:p>
    <w:p w14:paraId="62826C20">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一）停车数量在300辆以上或者建筑面积大于10000平方米独立建造的经营性汽车库，车位数大于60个或者建筑面积大于3000平方米的修车库，停车数量在200辆以上的公交车、客车停车场；室内集中布置充电设备且建筑面积在1000平方米以上的电动汽车充电站。</w:t>
      </w:r>
    </w:p>
    <w:p w14:paraId="4F8E1E7B">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（二）省级以上司法部门直属的监狱和行政戒毒场所。</w:t>
      </w:r>
    </w:p>
    <w:p w14:paraId="4BA2FA88">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（三）固定资产（建筑、设备、原材料等）价值在2亿元以上的工业企业。</w:t>
      </w:r>
    </w:p>
    <w:p w14:paraId="6B3973B1">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成都市固定资产（建筑、设备、原材料等）价值在5亿元以上的工业企业。</w:t>
      </w:r>
    </w:p>
    <w:p w14:paraId="3D525CB6">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（四）央行、商业银行的分行级以上分支机构。</w:t>
      </w:r>
    </w:p>
    <w:p w14:paraId="6082E90B">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（五）4A级以上旅游景区。</w:t>
      </w:r>
    </w:p>
    <w:p w14:paraId="3F9AAC91">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（六）建筑面积在50000平方米以上的大型商业综合体。</w:t>
      </w:r>
    </w:p>
    <w:p w14:paraId="0B709F0A">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eastAsia="方正小标宋_GBK"/>
          <w:color w:val="000000"/>
          <w:sz w:val="44"/>
          <w:szCs w:val="44"/>
        </w:rPr>
      </w:pPr>
      <w:r>
        <w:rPr>
          <w:rFonts w:eastAsia="方正仿宋_GBK"/>
          <w:sz w:val="32"/>
          <w:szCs w:val="32"/>
        </w:rPr>
        <w:t>（七）城市轨道交通换乘站。</w:t>
      </w:r>
      <w:bookmarkStart w:id="0" w:name="_GoBack"/>
      <w:bookmarkEnd w:id="0"/>
    </w:p>
    <w:sectPr>
      <w:footerReference r:id="rId3" w:type="default"/>
      <w:pgSz w:w="11906" w:h="16838"/>
      <w:pgMar w:top="851"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BFA9">
    <w:pPr>
      <w:pStyle w:val="5"/>
      <w:ind w:right="360"/>
    </w:pPr>
    <w:r>
      <mc:AlternateContent>
        <mc:Choice Requires="wps">
          <w:drawing>
            <wp:anchor distT="0" distB="0" distL="114300" distR="114300" simplePos="0" relativeHeight="251660288" behindDoc="0" locked="0" layoutInCell="1" allowOverlap="1">
              <wp:simplePos x="0" y="0"/>
              <wp:positionH relativeFrom="margin">
                <wp:posOffset>5274310</wp:posOffset>
              </wp:positionH>
              <wp:positionV relativeFrom="paragraph">
                <wp:posOffset>-8890</wp:posOffset>
              </wp:positionV>
              <wp:extent cx="1828800" cy="1828800"/>
              <wp:effectExtent l="0" t="635" r="254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A2B17A">
                          <w:pPr>
                            <w:pStyle w:val="5"/>
                            <w:rPr>
                              <w:sz w:val="24"/>
                              <w:szCs w:val="24"/>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15.3pt;margin-top:-0.7pt;height:144pt;width:144pt;mso-position-horizontal-relative:margin;mso-wrap-style:none;z-index:251660288;mso-width-relative:page;mso-height-relative:page;" filled="f" stroked="f" coordsize="21600,21600" o:gfxdata="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4lpg1wAAAAsBAAAPAAAAAAAAAAEAIAAAACIAAABkcnMv&#10;ZG93bnJldi54bWxQSwECFAAUAAAACACHTuJANz7mmwQCAAAEBAAADgAAAAAAAAABACAAAAAmAQAA&#10;ZHJzL2Uyb0RvYy54bWxQSwUGAAAAAAYABgBZAQAAnAUAAAAA&#10;">
              <v:fill on="f" focussize="0,0"/>
              <v:stroke on="f"/>
              <v:imagedata o:title=""/>
              <o:lock v:ext="edit" aspectratio="f"/>
              <v:textbox inset="0mm,0mm,0mm,0mm" style="mso-fit-shape-to-text:t;">
                <w:txbxContent>
                  <w:p w14:paraId="65A2B17A">
                    <w:pPr>
                      <w:pStyle w:val="5"/>
                      <w:rPr>
                        <w:sz w:val="24"/>
                        <w:szCs w:val="24"/>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2C13FB8"/>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5STQfgMCAAAEBAAADgAAAAAAAAABACAAAAAeAQAAZHJzL2Uyb0Rv&#10;Yy54bWxQSwUGAAAAAAYABgBZAQAAkwUAAAAA&#10;">
              <v:fill on="f" focussize="0,0"/>
              <v:stroke on="f"/>
              <v:imagedata o:title=""/>
              <o:lock v:ext="edit" aspectratio="f"/>
              <v:textbox inset="0mm,0mm,0mm,0mm" style="mso-fit-shape-to-text:t;">
                <w:txbxContent>
                  <w:p w14:paraId="12C13FB8"/>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ThjYTI5ZjJjNzU1OGFkNDk3Njg5OGYyNDkxM2QifQ=="/>
  </w:docVars>
  <w:rsids>
    <w:rsidRoot w:val="00E4439E"/>
    <w:rsid w:val="00004AE7"/>
    <w:rsid w:val="000315F1"/>
    <w:rsid w:val="00032F6F"/>
    <w:rsid w:val="00043ECC"/>
    <w:rsid w:val="00067CD4"/>
    <w:rsid w:val="0008197A"/>
    <w:rsid w:val="0009309E"/>
    <w:rsid w:val="00097E3B"/>
    <w:rsid w:val="000C6D0E"/>
    <w:rsid w:val="000E610F"/>
    <w:rsid w:val="00120D08"/>
    <w:rsid w:val="00161519"/>
    <w:rsid w:val="00166E1D"/>
    <w:rsid w:val="0018319A"/>
    <w:rsid w:val="001A6798"/>
    <w:rsid w:val="001B69CD"/>
    <w:rsid w:val="001D0BED"/>
    <w:rsid w:val="001E4FD0"/>
    <w:rsid w:val="002113F8"/>
    <w:rsid w:val="0022036C"/>
    <w:rsid w:val="00232445"/>
    <w:rsid w:val="002816FD"/>
    <w:rsid w:val="002B2336"/>
    <w:rsid w:val="002C2811"/>
    <w:rsid w:val="002C64ED"/>
    <w:rsid w:val="002D7E23"/>
    <w:rsid w:val="002F6D0B"/>
    <w:rsid w:val="0030673A"/>
    <w:rsid w:val="00334558"/>
    <w:rsid w:val="00353A44"/>
    <w:rsid w:val="003C14B2"/>
    <w:rsid w:val="003E0B99"/>
    <w:rsid w:val="003F59DA"/>
    <w:rsid w:val="004054BC"/>
    <w:rsid w:val="004C24FE"/>
    <w:rsid w:val="004C3A61"/>
    <w:rsid w:val="004D0BA8"/>
    <w:rsid w:val="004D567C"/>
    <w:rsid w:val="004F1319"/>
    <w:rsid w:val="00501C75"/>
    <w:rsid w:val="005029D2"/>
    <w:rsid w:val="00523179"/>
    <w:rsid w:val="00533D78"/>
    <w:rsid w:val="00562059"/>
    <w:rsid w:val="006011A4"/>
    <w:rsid w:val="00644605"/>
    <w:rsid w:val="00662B1D"/>
    <w:rsid w:val="00674080"/>
    <w:rsid w:val="006920CF"/>
    <w:rsid w:val="006A5E40"/>
    <w:rsid w:val="00772194"/>
    <w:rsid w:val="00794DCC"/>
    <w:rsid w:val="007954B6"/>
    <w:rsid w:val="00801B33"/>
    <w:rsid w:val="00836911"/>
    <w:rsid w:val="0084560C"/>
    <w:rsid w:val="00865C19"/>
    <w:rsid w:val="00873EDE"/>
    <w:rsid w:val="008746ED"/>
    <w:rsid w:val="00891725"/>
    <w:rsid w:val="008B1B12"/>
    <w:rsid w:val="008B6F50"/>
    <w:rsid w:val="00900CDF"/>
    <w:rsid w:val="00936265"/>
    <w:rsid w:val="00947430"/>
    <w:rsid w:val="009512C4"/>
    <w:rsid w:val="0096503E"/>
    <w:rsid w:val="00974B5F"/>
    <w:rsid w:val="00977344"/>
    <w:rsid w:val="009D4D24"/>
    <w:rsid w:val="009E5763"/>
    <w:rsid w:val="00A24BFF"/>
    <w:rsid w:val="00A579EB"/>
    <w:rsid w:val="00A77494"/>
    <w:rsid w:val="00A87268"/>
    <w:rsid w:val="00AC59C6"/>
    <w:rsid w:val="00AF0E3D"/>
    <w:rsid w:val="00B31DB0"/>
    <w:rsid w:val="00B45F54"/>
    <w:rsid w:val="00B705C9"/>
    <w:rsid w:val="00BC145A"/>
    <w:rsid w:val="00BD5CD3"/>
    <w:rsid w:val="00C07588"/>
    <w:rsid w:val="00C34114"/>
    <w:rsid w:val="00C46835"/>
    <w:rsid w:val="00CD562D"/>
    <w:rsid w:val="00CE7DF4"/>
    <w:rsid w:val="00CF1BA4"/>
    <w:rsid w:val="00D47546"/>
    <w:rsid w:val="00D67001"/>
    <w:rsid w:val="00D94641"/>
    <w:rsid w:val="00DB7693"/>
    <w:rsid w:val="00DE0E6A"/>
    <w:rsid w:val="00DF012D"/>
    <w:rsid w:val="00DF3DD1"/>
    <w:rsid w:val="00E044B4"/>
    <w:rsid w:val="00E4439E"/>
    <w:rsid w:val="00E66160"/>
    <w:rsid w:val="00E76485"/>
    <w:rsid w:val="00EE044A"/>
    <w:rsid w:val="00EE28EB"/>
    <w:rsid w:val="00F0408E"/>
    <w:rsid w:val="00F0562C"/>
    <w:rsid w:val="00F243AB"/>
    <w:rsid w:val="00F24434"/>
    <w:rsid w:val="00F47224"/>
    <w:rsid w:val="00F565B3"/>
    <w:rsid w:val="00FB4AF7"/>
    <w:rsid w:val="00FC206D"/>
    <w:rsid w:val="00FE365F"/>
    <w:rsid w:val="01D51D8E"/>
    <w:rsid w:val="04BA0275"/>
    <w:rsid w:val="07A46365"/>
    <w:rsid w:val="07A807FE"/>
    <w:rsid w:val="07DB0C2F"/>
    <w:rsid w:val="084560A8"/>
    <w:rsid w:val="0AC35C6E"/>
    <w:rsid w:val="0B2E376B"/>
    <w:rsid w:val="0C7E602C"/>
    <w:rsid w:val="0CB97065"/>
    <w:rsid w:val="0E197D32"/>
    <w:rsid w:val="0E481DCB"/>
    <w:rsid w:val="0F953DB9"/>
    <w:rsid w:val="107E31D3"/>
    <w:rsid w:val="10CF071D"/>
    <w:rsid w:val="113A6414"/>
    <w:rsid w:val="12843C71"/>
    <w:rsid w:val="129B1D1F"/>
    <w:rsid w:val="140908D1"/>
    <w:rsid w:val="15C229B8"/>
    <w:rsid w:val="162367C6"/>
    <w:rsid w:val="16FE789B"/>
    <w:rsid w:val="194C0960"/>
    <w:rsid w:val="1C163B37"/>
    <w:rsid w:val="1C2B0312"/>
    <w:rsid w:val="1EBA1146"/>
    <w:rsid w:val="1F730A15"/>
    <w:rsid w:val="20074954"/>
    <w:rsid w:val="22F55F7E"/>
    <w:rsid w:val="256242E5"/>
    <w:rsid w:val="25D1132C"/>
    <w:rsid w:val="25F211C5"/>
    <w:rsid w:val="264E478D"/>
    <w:rsid w:val="28445F24"/>
    <w:rsid w:val="290F208E"/>
    <w:rsid w:val="2A482E41"/>
    <w:rsid w:val="2B774EB0"/>
    <w:rsid w:val="2D517DC6"/>
    <w:rsid w:val="2D917516"/>
    <w:rsid w:val="2DDF4725"/>
    <w:rsid w:val="2F9075AA"/>
    <w:rsid w:val="30C75190"/>
    <w:rsid w:val="30F93D50"/>
    <w:rsid w:val="34CC177B"/>
    <w:rsid w:val="3987743A"/>
    <w:rsid w:val="3A8A3C6B"/>
    <w:rsid w:val="3D4571D8"/>
    <w:rsid w:val="3DD84673"/>
    <w:rsid w:val="3E7C78DB"/>
    <w:rsid w:val="3FFC1167"/>
    <w:rsid w:val="40441BAF"/>
    <w:rsid w:val="41200E85"/>
    <w:rsid w:val="429A4C67"/>
    <w:rsid w:val="431917AE"/>
    <w:rsid w:val="44DF4BB3"/>
    <w:rsid w:val="4D017EB1"/>
    <w:rsid w:val="4E365631"/>
    <w:rsid w:val="51C827CE"/>
    <w:rsid w:val="546704F0"/>
    <w:rsid w:val="55321068"/>
    <w:rsid w:val="57E01E21"/>
    <w:rsid w:val="58FC5EC4"/>
    <w:rsid w:val="59C173D9"/>
    <w:rsid w:val="5A517EA9"/>
    <w:rsid w:val="5AFA22EF"/>
    <w:rsid w:val="5B197899"/>
    <w:rsid w:val="5B5F03A4"/>
    <w:rsid w:val="5DF10793"/>
    <w:rsid w:val="5E5835B4"/>
    <w:rsid w:val="6175447D"/>
    <w:rsid w:val="64F40201"/>
    <w:rsid w:val="659F0D09"/>
    <w:rsid w:val="66154481"/>
    <w:rsid w:val="6635067F"/>
    <w:rsid w:val="66657A0B"/>
    <w:rsid w:val="67063AC9"/>
    <w:rsid w:val="679A2E90"/>
    <w:rsid w:val="69AE2F2E"/>
    <w:rsid w:val="6A8D0A8A"/>
    <w:rsid w:val="6AE5157E"/>
    <w:rsid w:val="6E4D27E3"/>
    <w:rsid w:val="745919DD"/>
    <w:rsid w:val="78967CE1"/>
    <w:rsid w:val="79474811"/>
    <w:rsid w:val="7A454EDD"/>
    <w:rsid w:val="7D0F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rPr>
      <w:rFonts w:ascii="Times New Roman" w:hAnsi="Times New Roman"/>
      <w:szCs w:val="21"/>
    </w:rPr>
  </w:style>
  <w:style w:type="paragraph" w:styleId="3">
    <w:name w:val="annotation text"/>
    <w:basedOn w:val="1"/>
    <w:link w:val="11"/>
    <w:unhideWhenUsed/>
    <w:qFormat/>
    <w:uiPriority w:val="0"/>
    <w:pPr>
      <w:jc w:val="left"/>
    </w:pPr>
    <w:rPr>
      <w:rFonts w:ascii="Verdana" w:hAnsi="Verdana" w:eastAsia="仿宋_GB2312"/>
      <w:lang w:eastAsia="en-US"/>
    </w:rPr>
  </w:style>
  <w:style w:type="paragraph" w:styleId="4">
    <w:name w:val="Balloon Text"/>
    <w:basedOn w:val="1"/>
    <w:link w:val="15"/>
    <w:semiHidden/>
    <w:unhideWhenUsed/>
    <w:qFormat/>
    <w:uiPriority w:val="99"/>
    <w:rPr>
      <w:sz w:val="18"/>
      <w:szCs w:val="18"/>
    </w:rPr>
  </w:style>
  <w:style w:type="paragraph" w:styleId="5">
    <w:name w:val="footer"/>
    <w:basedOn w:val="1"/>
    <w:next w:val="1"/>
    <w:link w:val="12"/>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nhideWhenUsed/>
    <w:qFormat/>
    <w:uiPriority w:val="0"/>
  </w:style>
  <w:style w:type="character" w:customStyle="1" w:styleId="11">
    <w:name w:val="批注文字 Char"/>
    <w:basedOn w:val="9"/>
    <w:link w:val="3"/>
    <w:qFormat/>
    <w:uiPriority w:val="0"/>
    <w:rPr>
      <w:rFonts w:ascii="Verdana" w:hAnsi="Verdana" w:eastAsia="仿宋_GB2312" w:cs="Times New Roman"/>
      <w:szCs w:val="24"/>
      <w:lang w:eastAsia="en-US"/>
    </w:rPr>
  </w:style>
  <w:style w:type="character" w:customStyle="1" w:styleId="12">
    <w:name w:val="页脚 Char"/>
    <w:basedOn w:val="9"/>
    <w:link w:val="5"/>
    <w:qFormat/>
    <w:uiPriority w:val="99"/>
    <w:rPr>
      <w:rFonts w:ascii="Calibri" w:hAnsi="Calibri" w:eastAsia="宋体" w:cs="Times New Roman"/>
      <w:kern w:val="0"/>
      <w:sz w:val="18"/>
      <w:szCs w:val="18"/>
    </w:rPr>
  </w:style>
  <w:style w:type="character" w:customStyle="1" w:styleId="13">
    <w:name w:val="页眉 Char"/>
    <w:basedOn w:val="9"/>
    <w:link w:val="6"/>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 w:type="paragraph" w:customStyle="1" w:styleId="16">
    <w:name w:val="Default"/>
    <w:next w:val="1"/>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DYXF</Company>
  <Pages>4</Pages>
  <Words>2530</Words>
  <Characters>2727</Characters>
  <Lines>28</Lines>
  <Paragraphs>8</Paragraphs>
  <TotalTime>3</TotalTime>
  <ScaleCrop>false</ScaleCrop>
  <LinksUpToDate>false</LinksUpToDate>
  <CharactersWithSpaces>2744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2023-01-11T02:42:00Z</dcterms:created>
  <dc:creator>B.F.</dc:creator>
  <cp:lastModifiedBy>李蕉</cp:lastModifiedBy>
  <cp:lastPrinted>2022-12-26T09:45:00Z</cp:lastPrinted>
  <dcterms:modified xsi:type="dcterms:W3CDTF">2025-01-15T09:53:01Z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463B64733BC14350949951CE2C3D53A1_13</vt:lpwstr>
  </property>
</Properties>
</file>